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FF7821A"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8230A" w:rsidRPr="0048230A">
        <w:rPr>
          <w:bCs/>
          <w:noProof w:val="0"/>
          <w:sz w:val="24"/>
          <w:szCs w:val="24"/>
        </w:rPr>
        <w:t>2312224</w:t>
      </w:r>
    </w:p>
    <w:p w14:paraId="11776FA6" w14:textId="76AB7E11" w:rsidR="00A209D6" w:rsidRPr="00465587" w:rsidRDefault="00F42493" w:rsidP="00A209D6">
      <w:pPr>
        <w:pStyle w:val="Header"/>
        <w:tabs>
          <w:tab w:val="right" w:pos="9639"/>
        </w:tabs>
        <w:rPr>
          <w:rFonts w:eastAsia="宋体"/>
          <w:bCs/>
          <w:sz w:val="24"/>
          <w:szCs w:val="24"/>
          <w:lang w:eastAsia="zh-CN"/>
        </w:rPr>
      </w:pPr>
      <w:r>
        <w:rPr>
          <w:rFonts w:eastAsia="宋体"/>
          <w:bCs/>
          <w:sz w:val="24"/>
          <w:szCs w:val="24"/>
          <w:lang w:eastAsia="zh-CN"/>
        </w:rPr>
        <w:t>Chicago</w:t>
      </w:r>
      <w:r w:rsidR="00537809" w:rsidRPr="002240E0">
        <w:rPr>
          <w:rFonts w:eastAsia="宋体"/>
          <w:bCs/>
          <w:sz w:val="24"/>
          <w:szCs w:val="24"/>
          <w:lang w:eastAsia="zh-CN"/>
        </w:rPr>
        <w:t xml:space="preserve">, </w:t>
      </w:r>
      <w:r>
        <w:rPr>
          <w:rFonts w:eastAsia="宋体"/>
          <w:bCs/>
          <w:sz w:val="24"/>
          <w:szCs w:val="24"/>
          <w:lang w:eastAsia="zh-CN"/>
        </w:rPr>
        <w:t>USA</w:t>
      </w:r>
      <w:r w:rsidR="00537809" w:rsidRPr="002240E0">
        <w:rPr>
          <w:rFonts w:eastAsia="宋体"/>
          <w:bCs/>
          <w:sz w:val="24"/>
          <w:szCs w:val="24"/>
          <w:lang w:eastAsia="zh-CN"/>
        </w:rPr>
        <w:t xml:space="preserve">, </w:t>
      </w:r>
      <w:r>
        <w:rPr>
          <w:rFonts w:eastAsia="宋体"/>
          <w:bCs/>
          <w:sz w:val="24"/>
          <w:szCs w:val="24"/>
          <w:lang w:eastAsia="zh-CN"/>
        </w:rPr>
        <w:t>13</w:t>
      </w:r>
      <w:r w:rsidR="0018542A">
        <w:rPr>
          <w:rFonts w:eastAsia="宋体"/>
          <w:bCs/>
          <w:sz w:val="24"/>
          <w:szCs w:val="24"/>
          <w:lang w:eastAsia="zh-CN"/>
        </w:rPr>
        <w:t xml:space="preserve"> </w:t>
      </w:r>
      <w:r w:rsidR="00537809" w:rsidRPr="002240E0">
        <w:rPr>
          <w:rFonts w:eastAsia="宋体"/>
          <w:bCs/>
          <w:sz w:val="24"/>
          <w:szCs w:val="24"/>
          <w:lang w:eastAsia="zh-CN"/>
        </w:rPr>
        <w:t xml:space="preserve">– </w:t>
      </w:r>
      <w:r w:rsidR="004E7553">
        <w:rPr>
          <w:rFonts w:eastAsia="宋体"/>
          <w:bCs/>
          <w:sz w:val="24"/>
          <w:szCs w:val="24"/>
          <w:lang w:eastAsia="zh-CN"/>
        </w:rPr>
        <w:t>1</w:t>
      </w:r>
      <w:r>
        <w:rPr>
          <w:rFonts w:eastAsia="宋体"/>
          <w:bCs/>
          <w:sz w:val="24"/>
          <w:szCs w:val="24"/>
          <w:lang w:eastAsia="zh-CN"/>
        </w:rPr>
        <w:t>7</w:t>
      </w:r>
      <w:r w:rsidR="00537809" w:rsidRPr="002240E0">
        <w:rPr>
          <w:rFonts w:eastAsia="宋体"/>
          <w:bCs/>
          <w:sz w:val="24"/>
          <w:szCs w:val="24"/>
          <w:lang w:eastAsia="zh-CN"/>
        </w:rPr>
        <w:t xml:space="preserve"> </w:t>
      </w:r>
      <w:r>
        <w:rPr>
          <w:rFonts w:eastAsia="宋体"/>
          <w:bCs/>
          <w:sz w:val="24"/>
          <w:szCs w:val="24"/>
          <w:lang w:eastAsia="zh-CN"/>
        </w:rPr>
        <w:t>November</w:t>
      </w:r>
      <w:r w:rsidR="00537809" w:rsidRPr="002240E0">
        <w:rPr>
          <w:rFonts w:eastAsia="宋体"/>
          <w:bCs/>
          <w:sz w:val="24"/>
          <w:szCs w:val="24"/>
          <w:lang w:eastAsia="zh-CN"/>
        </w:rPr>
        <w:t xml:space="preserve"> 202</w:t>
      </w:r>
      <w:r w:rsidR="00537809">
        <w:rPr>
          <w:rFonts w:eastAsia="宋体"/>
          <w:bCs/>
          <w:sz w:val="24"/>
          <w:szCs w:val="24"/>
          <w:lang w:eastAsia="zh-CN"/>
        </w:rPr>
        <w:t>3</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C5AD65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74AC">
        <w:rPr>
          <w:rFonts w:cs="Arial"/>
          <w:b/>
          <w:bCs/>
          <w:sz w:val="24"/>
          <w:lang w:eastAsia="ja-JP"/>
        </w:rPr>
        <w:t>7.3.2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3D96AB1" w:rsidR="00446C3A" w:rsidRDefault="4E734CAB" w:rsidP="53120597">
      <w:pPr>
        <w:ind w:left="1985" w:hanging="1985"/>
        <w:rPr>
          <w:rFonts w:ascii="Arial" w:eastAsia="Arial" w:hAnsi="Arial" w:cs="Arial"/>
          <w:sz w:val="24"/>
          <w:szCs w:val="24"/>
        </w:rPr>
      </w:pPr>
      <w:r w:rsidRPr="53120597">
        <w:rPr>
          <w:rFonts w:ascii="Arial" w:hAnsi="Arial" w:cs="Arial"/>
          <w:b/>
          <w:bCs/>
          <w:sz w:val="24"/>
          <w:szCs w:val="24"/>
        </w:rPr>
        <w:t>Title:</w:t>
      </w:r>
      <w:r w:rsidR="00446C3A">
        <w:tab/>
      </w:r>
      <w:r w:rsidR="3D133B36" w:rsidRPr="53120597">
        <w:rPr>
          <w:rFonts w:ascii="Arial" w:eastAsia="Arial" w:hAnsi="Arial" w:cs="Arial"/>
          <w:b/>
          <w:bCs/>
          <w:color w:val="000000" w:themeColor="text1"/>
          <w:sz w:val="24"/>
          <w:szCs w:val="24"/>
        </w:rPr>
        <w:t>Remaining issues on Cell DTX/DRX</w:t>
      </w:r>
    </w:p>
    <w:p w14:paraId="25F387E8" w14:textId="457D99E4" w:rsidR="00446C3A" w:rsidRPr="00B266B0" w:rsidRDefault="4E734CAB" w:rsidP="53120597">
      <w:pPr>
        <w:ind w:left="1985" w:hanging="1985"/>
        <w:rPr>
          <w:rFonts w:ascii="Arial" w:eastAsia="Arial" w:hAnsi="Arial" w:cs="Arial"/>
          <w:sz w:val="24"/>
          <w:szCs w:val="24"/>
        </w:rPr>
      </w:pPr>
      <w:r w:rsidRPr="53120597">
        <w:rPr>
          <w:rFonts w:ascii="Arial" w:hAnsi="Arial" w:cs="Arial"/>
          <w:b/>
          <w:bCs/>
          <w:sz w:val="24"/>
          <w:szCs w:val="24"/>
        </w:rPr>
        <w:t>WID/SID:</w:t>
      </w:r>
      <w:r w:rsidR="00446C3A">
        <w:tab/>
      </w:r>
      <w:proofErr w:type="spellStart"/>
      <w:r w:rsidR="66F3B016" w:rsidRPr="53120597">
        <w:rPr>
          <w:rFonts w:ascii="Arial" w:eastAsia="Arial" w:hAnsi="Arial" w:cs="Arial"/>
          <w:b/>
          <w:bCs/>
          <w:color w:val="000000" w:themeColor="text1"/>
          <w:sz w:val="24"/>
          <w:szCs w:val="24"/>
        </w:rPr>
        <w:t>Netw_Energy_NR</w:t>
      </w:r>
      <w:proofErr w:type="spellEnd"/>
      <w:r w:rsidR="66F3B016" w:rsidRPr="53120597">
        <w:rPr>
          <w:rFonts w:ascii="Arial" w:eastAsia="Arial" w:hAnsi="Arial" w:cs="Arial"/>
          <w:b/>
          <w:bCs/>
          <w:color w:val="000000" w:themeColor="text1"/>
          <w:sz w:val="24"/>
          <w:szCs w:val="24"/>
        </w:rPr>
        <w:t>-Core - Release 18</w:t>
      </w:r>
    </w:p>
    <w:p w14:paraId="2AF61BAB" w14:textId="77777777" w:rsidR="00155E39" w:rsidRPr="00B266B0" w:rsidRDefault="00155E39" w:rsidP="00155E3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03BEC" w14:textId="77777777" w:rsidR="00155E39" w:rsidRPr="006E13D1" w:rsidRDefault="00155E39" w:rsidP="00155E39">
      <w:pPr>
        <w:pStyle w:val="Heading1"/>
      </w:pPr>
      <w:r w:rsidRPr="006E13D1">
        <w:t>1</w:t>
      </w:r>
      <w:r w:rsidRPr="006E13D1">
        <w:tab/>
      </w:r>
      <w:r>
        <w:t>Introduction</w:t>
      </w:r>
    </w:p>
    <w:p w14:paraId="3E57AD8B" w14:textId="14D8EA23" w:rsidR="00155E39" w:rsidRDefault="00155E39" w:rsidP="00155E39">
      <w:r>
        <w:t xml:space="preserve">In this paper we discuss remaining issues on Cell DTX/DRX on </w:t>
      </w:r>
      <w:r w:rsidR="0089787D">
        <w:t xml:space="preserve">1) </w:t>
      </w:r>
      <w:r w:rsidR="00EF0CB5">
        <w:t>whether UE DRX applies to DCI format for Cell DTX/DRX activation/deactivation</w:t>
      </w:r>
      <w:r w:rsidR="0089787D">
        <w:t xml:space="preserve"> and 2) retransmission timer aspect</w:t>
      </w:r>
      <w:r>
        <w:t>.</w:t>
      </w:r>
    </w:p>
    <w:p w14:paraId="3F1151DD" w14:textId="375A71F1" w:rsidR="00E52E00" w:rsidRPr="006E13D1" w:rsidRDefault="00E52E00" w:rsidP="00E52E00">
      <w:pPr>
        <w:pStyle w:val="Heading1"/>
      </w:pPr>
      <w:r>
        <w:t>2</w:t>
      </w:r>
      <w:r w:rsidRPr="006E13D1">
        <w:tab/>
      </w:r>
      <w:r w:rsidR="00573B1A">
        <w:t>Discussion</w:t>
      </w:r>
    </w:p>
    <w:p w14:paraId="7FB072E9" w14:textId="7266A797" w:rsidR="0089787D" w:rsidRDefault="00134ED6" w:rsidP="0089787D">
      <w:pPr>
        <w:pStyle w:val="Heading2"/>
      </w:pPr>
      <w:r>
        <w:t>2.1</w:t>
      </w:r>
      <w:r>
        <w:tab/>
      </w:r>
      <w:r w:rsidR="0089787D">
        <w:t>DCI format 2_9 monitoring</w:t>
      </w:r>
    </w:p>
    <w:p w14:paraId="2F355466" w14:textId="2C5F7868" w:rsidR="0089787D" w:rsidRDefault="0089787D" w:rsidP="0089787D">
      <w:r>
        <w:t xml:space="preserve">There was some proposal to add the NES-RNTI for Cell DTX/DRX activation/deactivation DCI as one of the RNTI that the UE only monitors if it is in UE DRX active time. In our view, it might be difficult to make sure common active time for all the UEs since usually the NW configure different offset for UE DRX active time for load balancing purpose. Requiring the DCI format 2_9 occasions to fall into the active time of all the UEs in the cell would restrict the NW configuration flexibility quite severely. </w:t>
      </w:r>
      <w:r w:rsidR="0068786E">
        <w:t>If we put such restriction to the configuration, i</w:t>
      </w:r>
      <w:r>
        <w:t xml:space="preserve">t might in the end need to configure relatively </w:t>
      </w:r>
      <w:r w:rsidR="0068786E">
        <w:t xml:space="preserve">much </w:t>
      </w:r>
      <w:r>
        <w:t>long</w:t>
      </w:r>
      <w:r w:rsidR="0068786E">
        <w:t>er</w:t>
      </w:r>
      <w:r>
        <w:t xml:space="preserve"> OnDuration for all the UEs which increase the power consumption of the UEs than making the DCI format 2_9 monitoring independent from the UE’s DRX active time. </w:t>
      </w:r>
    </w:p>
    <w:p w14:paraId="7E7A4BFE" w14:textId="4B6307A0" w:rsidR="00070D90" w:rsidRDefault="00070D90" w:rsidP="0089787D">
      <w:r>
        <w:t xml:space="preserve">Since DCI format 2_9 is common signalling, it makes sense to not cover it in DRX operation like other common signalling. The UE just follows the PDCCH occasions configured for </w:t>
      </w:r>
      <w:r w:rsidR="00080B69">
        <w:t>such DCI</w:t>
      </w:r>
      <w:r>
        <w:t>.</w:t>
      </w:r>
    </w:p>
    <w:p w14:paraId="2BF39B5B" w14:textId="0F1ED941" w:rsidR="0089787D" w:rsidRPr="00FA6B85" w:rsidRDefault="0089787D" w:rsidP="0089787D">
      <w:pPr>
        <w:rPr>
          <w:rFonts w:eastAsia="Calibri"/>
        </w:rPr>
      </w:pPr>
      <w:r w:rsidRPr="009A3F7F">
        <w:rPr>
          <w:b/>
          <w:bCs/>
        </w:rPr>
        <w:t xml:space="preserve">Proposal </w:t>
      </w:r>
      <w:r w:rsidR="00E30B27">
        <w:rPr>
          <w:b/>
          <w:bCs/>
        </w:rPr>
        <w:t>1</w:t>
      </w:r>
      <w:r>
        <w:t>: since DCI format 2_9 is common signalling, the UE monitors the occasions configured for DCI format 2_9 regardless of the UE DRX active time</w:t>
      </w:r>
      <w:r w:rsidR="00DA2582">
        <w:t>,</w:t>
      </w:r>
      <w:r w:rsidR="00C745E7">
        <w:t xml:space="preserve"> </w:t>
      </w:r>
      <w:r w:rsidR="00F9633D">
        <w:t>same</w:t>
      </w:r>
      <w:r>
        <w:t xml:space="preserve"> </w:t>
      </w:r>
      <w:r w:rsidR="00DA2582">
        <w:t>as</w:t>
      </w:r>
      <w:r>
        <w:t xml:space="preserve"> other common signalling </w:t>
      </w:r>
      <w:r w:rsidR="002A2B76">
        <w:t xml:space="preserve">for </w:t>
      </w:r>
      <w:r>
        <w:t>RAR, paging, SI, etc.</w:t>
      </w:r>
      <w:r w:rsidR="00A947E7">
        <w:t xml:space="preserve">, </w:t>
      </w:r>
      <w:proofErr w:type="gramStart"/>
      <w:r w:rsidR="00A947E7">
        <w:t>i.e.</w:t>
      </w:r>
      <w:proofErr w:type="gramEnd"/>
      <w:r w:rsidR="00A947E7">
        <w:t xml:space="preserve"> no update needed in the </w:t>
      </w:r>
      <w:r w:rsidR="00B54435">
        <w:t xml:space="preserve">UE </w:t>
      </w:r>
      <w:r w:rsidR="00A947E7">
        <w:t>DRX section.</w:t>
      </w:r>
    </w:p>
    <w:p w14:paraId="7DABD690" w14:textId="77777777" w:rsidR="0089787D" w:rsidRDefault="00FA6B85" w:rsidP="0089787D">
      <w:pPr>
        <w:pStyle w:val="Heading2"/>
      </w:pPr>
      <w:r w:rsidRPr="00E47B93">
        <w:t>2.</w:t>
      </w:r>
      <w:r>
        <w:t>2</w:t>
      </w:r>
      <w:r>
        <w:tab/>
      </w:r>
      <w:r w:rsidR="0089787D">
        <w:t>Retransmission timer aspect</w:t>
      </w:r>
    </w:p>
    <w:p w14:paraId="445350F1" w14:textId="50CF70A7" w:rsidR="0089787D" w:rsidRPr="00C9432B" w:rsidRDefault="0C067CAD" w:rsidP="0089787D">
      <w:pPr>
        <w:rPr>
          <w:color w:val="000000" w:themeColor="text1"/>
        </w:rPr>
      </w:pPr>
      <w:r w:rsidRPr="3D8DB3F3">
        <w:rPr>
          <w:color w:val="000000" w:themeColor="text1"/>
        </w:rPr>
        <w:t>F</w:t>
      </w:r>
      <w:r w:rsidR="0089787D" w:rsidRPr="3D8DB3F3">
        <w:rPr>
          <w:color w:val="000000" w:themeColor="text1"/>
        </w:rPr>
        <w:t xml:space="preserve">ollowing agreements were achieved in the previous RAN2 meetings. </w:t>
      </w:r>
    </w:p>
    <w:tbl>
      <w:tblPr>
        <w:tblStyle w:val="TableGrid"/>
        <w:tblW w:w="0" w:type="auto"/>
        <w:tblLayout w:type="fixed"/>
        <w:tblLook w:val="06A0" w:firstRow="1" w:lastRow="0" w:firstColumn="1" w:lastColumn="0" w:noHBand="1" w:noVBand="1"/>
      </w:tblPr>
      <w:tblGrid>
        <w:gridCol w:w="9630"/>
      </w:tblGrid>
      <w:tr w:rsidR="0089787D" w14:paraId="5F1CFF28" w14:textId="77777777">
        <w:trPr>
          <w:trHeight w:val="300"/>
        </w:trPr>
        <w:tc>
          <w:tcPr>
            <w:tcW w:w="9630" w:type="dxa"/>
          </w:tcPr>
          <w:p w14:paraId="0E5B37B4" w14:textId="77777777" w:rsidR="0089787D" w:rsidRDefault="0089787D">
            <w:pPr>
              <w:ind w:left="363" w:hanging="363"/>
              <w:jc w:val="both"/>
            </w:pPr>
            <w:r w:rsidRPr="53120597">
              <w:rPr>
                <w:rFonts w:ascii="Arial" w:eastAsia="Arial" w:hAnsi="Arial" w:cs="Arial"/>
                <w:sz w:val="22"/>
                <w:szCs w:val="22"/>
              </w:rPr>
              <w:t xml:space="preserve">RAN2#122  </w:t>
            </w:r>
          </w:p>
          <w:p w14:paraId="5C74BE1E" w14:textId="77777777" w:rsidR="0089787D" w:rsidRDefault="0089787D">
            <w:pPr>
              <w:ind w:left="363" w:hanging="363"/>
              <w:jc w:val="both"/>
              <w:rPr>
                <w:rFonts w:ascii="Arial" w:eastAsia="Arial" w:hAnsi="Arial" w:cs="Arial"/>
                <w:sz w:val="22"/>
                <w:szCs w:val="22"/>
              </w:rPr>
            </w:pPr>
            <w:r w:rsidRPr="53120597">
              <w:rPr>
                <w:rFonts w:ascii="Arial" w:eastAsia="Arial" w:hAnsi="Arial" w:cs="Arial"/>
                <w:sz w:val="22"/>
                <w:szCs w:val="22"/>
              </w:rPr>
              <w:t xml:space="preserve">      Working assumption:  When the retransmission timer is running (if C-DRX is configured), the UE is expected to monitor PDCCH, like in legacy.  It is up to the network whether it schedules retransmissions out of the Cell DTX active period, i.e., </w:t>
            </w:r>
            <w:r w:rsidRPr="00EE3755">
              <w:rPr>
                <w:rFonts w:ascii="Arial" w:eastAsia="Arial" w:hAnsi="Arial" w:cs="Arial"/>
                <w:sz w:val="22"/>
                <w:szCs w:val="22"/>
                <w:highlight w:val="yellow"/>
              </w:rPr>
              <w:t>when the DRX retransmission timer is running, the UE should monitor PDCCH regardless of the Cell DTX</w:t>
            </w:r>
            <w:r w:rsidRPr="53120597">
              <w:rPr>
                <w:rFonts w:ascii="Arial" w:eastAsia="Arial" w:hAnsi="Arial" w:cs="Arial"/>
                <w:sz w:val="22"/>
                <w:szCs w:val="22"/>
              </w:rPr>
              <w:t xml:space="preserve">. </w:t>
            </w:r>
          </w:p>
          <w:p w14:paraId="05AE7AEA" w14:textId="77777777" w:rsidR="0089787D" w:rsidRDefault="0089787D">
            <w:pPr>
              <w:ind w:left="363" w:hanging="363"/>
              <w:jc w:val="both"/>
            </w:pPr>
            <w:r w:rsidRPr="53120597">
              <w:rPr>
                <w:rFonts w:ascii="Arial" w:eastAsia="Arial" w:hAnsi="Arial" w:cs="Arial"/>
                <w:sz w:val="22"/>
                <w:szCs w:val="22"/>
              </w:rPr>
              <w:t xml:space="preserve">RAN2#123 </w:t>
            </w:r>
          </w:p>
          <w:p w14:paraId="11AE19B5" w14:textId="77777777" w:rsidR="0089787D" w:rsidRDefault="0089787D">
            <w:pPr>
              <w:ind w:left="363" w:hanging="363"/>
              <w:jc w:val="both"/>
              <w:rPr>
                <w:rFonts w:ascii="Arial" w:eastAsia="Arial" w:hAnsi="Arial" w:cs="Arial"/>
                <w:sz w:val="22"/>
                <w:szCs w:val="22"/>
              </w:rPr>
            </w:pPr>
            <w:r w:rsidRPr="53120597">
              <w:rPr>
                <w:rFonts w:ascii="Arial" w:eastAsia="Arial" w:hAnsi="Arial" w:cs="Arial"/>
                <w:sz w:val="22"/>
                <w:szCs w:val="22"/>
              </w:rPr>
              <w:t xml:space="preserve">    </w:t>
            </w:r>
            <w:r w:rsidRPr="00643FE2">
              <w:rPr>
                <w:rFonts w:ascii="Arial" w:eastAsia="Arial" w:hAnsi="Arial" w:cs="Arial"/>
                <w:sz w:val="22"/>
                <w:szCs w:val="22"/>
              </w:rPr>
              <w:t>Confirm working assumption</w:t>
            </w:r>
            <w:r w:rsidRPr="53120597">
              <w:rPr>
                <w:rFonts w:ascii="Arial" w:eastAsia="Arial" w:hAnsi="Arial" w:cs="Arial"/>
                <w:sz w:val="22"/>
                <w:szCs w:val="22"/>
              </w:rPr>
              <w:t>, when the retransmission timer is running (if C-DRX I configured), the UE is expected to monitor PDCCH, like in legacy.  It is up to the network whether it schedules retransmissions out of the Cell DTX active period, i.e., when the DRX retransmission timer is running, the UE should monitor PDCCH regardless of the Cell DTX.</w:t>
            </w:r>
          </w:p>
        </w:tc>
      </w:tr>
    </w:tbl>
    <w:p w14:paraId="76758987" w14:textId="77777777" w:rsidR="0089787D" w:rsidRDefault="0089787D" w:rsidP="0089787D">
      <w:r>
        <w:t>And the following has been captured in the running CR as per DRX group operation other than per serving cell.</w:t>
      </w:r>
    </w:p>
    <w:tbl>
      <w:tblPr>
        <w:tblStyle w:val="TableGrid"/>
        <w:tblW w:w="0" w:type="auto"/>
        <w:tblLook w:val="04A0" w:firstRow="1" w:lastRow="0" w:firstColumn="1" w:lastColumn="0" w:noHBand="0" w:noVBand="1"/>
      </w:tblPr>
      <w:tblGrid>
        <w:gridCol w:w="9631"/>
      </w:tblGrid>
      <w:tr w:rsidR="0089787D" w14:paraId="2230AB5B" w14:textId="77777777">
        <w:tc>
          <w:tcPr>
            <w:tcW w:w="9631" w:type="dxa"/>
          </w:tcPr>
          <w:p w14:paraId="162A04BE" w14:textId="77777777" w:rsidR="0089787D" w:rsidRDefault="0089787D">
            <w:pPr>
              <w:rPr>
                <w:lang w:eastAsia="ko-KR"/>
              </w:rPr>
            </w:pPr>
            <w:r>
              <w:rPr>
                <w:lang w:eastAsia="ko-KR"/>
              </w:rPr>
              <w:lastRenderedPageBreak/>
              <w:t>For each Serving Cell configured with</w:t>
            </w:r>
            <w:r w:rsidRPr="00EB793A">
              <w:t xml:space="preserve"> </w:t>
            </w:r>
            <w:r>
              <w:t xml:space="preserve">cell DTX, the </w:t>
            </w:r>
            <w:r>
              <w:rPr>
                <w:lang w:eastAsia="zh-CN"/>
              </w:rPr>
              <w:t>MAC entity</w:t>
            </w:r>
            <w:r>
              <w:t xml:space="preserve"> shall:</w:t>
            </w:r>
          </w:p>
          <w:p w14:paraId="6504BADF" w14:textId="77777777" w:rsidR="0089787D" w:rsidRDefault="0089787D">
            <w:pPr>
              <w:pStyle w:val="B1"/>
            </w:pPr>
            <w:r>
              <w:t xml:space="preserve">1&gt; </w:t>
            </w:r>
            <w:r w:rsidRPr="00633828">
              <w:t>if cell DTX is activated for this Serving Cell</w:t>
            </w:r>
            <w:r>
              <w:t>:</w:t>
            </w:r>
          </w:p>
          <w:p w14:paraId="0181F2A7" w14:textId="77777777" w:rsidR="0089787D" w:rsidRDefault="0089787D">
            <w:pPr>
              <w:pStyle w:val="B2"/>
            </w:pPr>
            <w:r>
              <w:t>2&gt;</w:t>
            </w:r>
            <w:r>
              <w:tab/>
              <w:t>if [(SFN × 10) + subframe number] modulo (</w:t>
            </w:r>
            <w:proofErr w:type="spellStart"/>
            <w:r>
              <w:rPr>
                <w:bCs/>
                <w:i/>
                <w:iCs/>
              </w:rPr>
              <w:t>celldtx</w:t>
            </w:r>
            <w:r>
              <w:rPr>
                <w:i/>
                <w:lang w:eastAsia="ko-KR"/>
              </w:rPr>
              <w:t>drx</w:t>
            </w:r>
            <w:proofErr w:type="spellEnd"/>
            <w:r>
              <w:rPr>
                <w:bCs/>
                <w:i/>
                <w:iCs/>
              </w:rPr>
              <w:t>-Cycle</w:t>
            </w:r>
            <w:r>
              <w:t>) = (</w:t>
            </w:r>
            <w:proofErr w:type="spellStart"/>
            <w:r>
              <w:rPr>
                <w:i/>
                <w:lang w:eastAsia="ko-KR"/>
              </w:rPr>
              <w:t>celldtxdrx</w:t>
            </w:r>
            <w:r>
              <w:rPr>
                <w:i/>
              </w:rPr>
              <w:t>-StartOffset</w:t>
            </w:r>
            <w:proofErr w:type="spellEnd"/>
            <w:r>
              <w:t>):</w:t>
            </w:r>
          </w:p>
          <w:p w14:paraId="7146AAE2" w14:textId="77777777" w:rsidR="0089787D" w:rsidRDefault="0089787D">
            <w:pPr>
              <w:pStyle w:val="B3"/>
              <w:rPr>
                <w:lang w:eastAsia="ko-KR"/>
              </w:rPr>
            </w:pPr>
            <w:r>
              <w:rPr>
                <w:lang w:eastAsia="ko-KR"/>
              </w:rPr>
              <w:t>3&gt;</w:t>
            </w:r>
            <w:r>
              <w:tab/>
            </w:r>
            <w:r>
              <w:rPr>
                <w:lang w:eastAsia="zh-CN"/>
              </w:rPr>
              <w:t>start</w:t>
            </w:r>
            <w:r>
              <w:t xml:space="preserve"> </w:t>
            </w:r>
            <w:proofErr w:type="spellStart"/>
            <w:r>
              <w:rPr>
                <w:i/>
                <w:lang w:eastAsia="ko-KR"/>
              </w:rPr>
              <w:t>celldtxdrx-onDurationTimer</w:t>
            </w:r>
            <w:proofErr w:type="spellEnd"/>
            <w:r>
              <w:rPr>
                <w:lang w:eastAsia="ko-KR"/>
              </w:rPr>
              <w:t xml:space="preserve"> </w:t>
            </w:r>
            <w:r>
              <w:t xml:space="preserve">for this serving cell </w:t>
            </w:r>
            <w:r>
              <w:rPr>
                <w:lang w:eastAsia="ko-KR"/>
              </w:rPr>
              <w:t xml:space="preserve">after </w:t>
            </w:r>
            <w:proofErr w:type="spellStart"/>
            <w:r>
              <w:rPr>
                <w:i/>
                <w:lang w:eastAsia="ko-KR"/>
              </w:rPr>
              <w:t>celldtxdrx-SlotOffset</w:t>
            </w:r>
            <w:proofErr w:type="spellEnd"/>
            <w:r>
              <w:rPr>
                <w:lang w:eastAsia="ko-KR"/>
              </w:rPr>
              <w:t xml:space="preserve"> from the beginning of the subframe.</w:t>
            </w:r>
          </w:p>
          <w:p w14:paraId="3F16A57A" w14:textId="77777777" w:rsidR="0089787D" w:rsidRDefault="0089787D">
            <w:pPr>
              <w:pStyle w:val="B1"/>
            </w:pPr>
            <w:r>
              <w:t xml:space="preserve">1&gt; if cell DTX operation </w:t>
            </w:r>
            <w:r w:rsidRPr="00633828">
              <w:t xml:space="preserve">is </w:t>
            </w:r>
            <w:r>
              <w:t>de</w:t>
            </w:r>
            <w:r w:rsidRPr="00633828">
              <w:t>activated for this Serving Cell</w:t>
            </w:r>
            <w:r>
              <w:t xml:space="preserve">; or </w:t>
            </w:r>
          </w:p>
          <w:p w14:paraId="62D7049F" w14:textId="77777777" w:rsidR="0089787D" w:rsidRDefault="0089787D">
            <w:pPr>
              <w:pStyle w:val="B1"/>
            </w:pPr>
            <w:r>
              <w:t>1&gt; if the Serving Cell is in the cell DTX Active Period:</w:t>
            </w:r>
          </w:p>
          <w:p w14:paraId="6DD936A7" w14:textId="77777777" w:rsidR="0089787D" w:rsidRDefault="0089787D">
            <w:pPr>
              <w:pStyle w:val="B2"/>
              <w:rPr>
                <w:lang w:eastAsia="zh-CN"/>
              </w:rPr>
            </w:pPr>
            <w:r>
              <w:rPr>
                <w:lang w:eastAsia="zh-CN"/>
              </w:rPr>
              <w:t xml:space="preserve">2&gt; monitor PDCCH </w:t>
            </w:r>
            <w:r>
              <w:t>on this Serving Cell, as specified in TS 38.213 [6] and other clauses of this specification.</w:t>
            </w:r>
          </w:p>
          <w:p w14:paraId="41129E47" w14:textId="77777777" w:rsidR="0089787D" w:rsidRDefault="0089787D">
            <w:pPr>
              <w:pStyle w:val="B1"/>
            </w:pPr>
            <w:r>
              <w:t>1</w:t>
            </w:r>
            <w:r w:rsidRPr="00242455">
              <w:rPr>
                <w:highlight w:val="yellow"/>
              </w:rPr>
              <w:t xml:space="preserve">&gt; if any </w:t>
            </w:r>
            <w:proofErr w:type="spellStart"/>
            <w:r w:rsidRPr="00242455">
              <w:rPr>
                <w:i/>
                <w:iCs/>
                <w:highlight w:val="yellow"/>
              </w:rPr>
              <w:t>drx-RetransmissionTimerDL</w:t>
            </w:r>
            <w:proofErr w:type="spellEnd"/>
            <w:r w:rsidRPr="00242455">
              <w:rPr>
                <w:highlight w:val="yellow"/>
              </w:rPr>
              <w:t xml:space="preserve">, </w:t>
            </w:r>
            <w:proofErr w:type="spellStart"/>
            <w:r w:rsidRPr="00242455">
              <w:rPr>
                <w:i/>
                <w:iCs/>
                <w:highlight w:val="yellow"/>
              </w:rPr>
              <w:t>drx-RetransmissionTimerUL</w:t>
            </w:r>
            <w:proofErr w:type="spellEnd"/>
            <w:r w:rsidRPr="00242455">
              <w:rPr>
                <w:highlight w:val="yellow"/>
              </w:rPr>
              <w:t xml:space="preserve"> or </w:t>
            </w:r>
            <w:proofErr w:type="spellStart"/>
            <w:r w:rsidRPr="00242455">
              <w:rPr>
                <w:i/>
                <w:iCs/>
                <w:highlight w:val="yellow"/>
              </w:rPr>
              <w:t>drx-RetransmissionTimerSL</w:t>
            </w:r>
            <w:proofErr w:type="spellEnd"/>
            <w:r w:rsidRPr="00242455">
              <w:rPr>
                <w:highlight w:val="yellow"/>
              </w:rPr>
              <w:t xml:space="preserve"> (as described in clause 5.7) is running on any Serving Cell in the DRX group of this Serving Cell</w:t>
            </w:r>
            <w:r>
              <w:t>; or</w:t>
            </w:r>
          </w:p>
          <w:p w14:paraId="024EDC25" w14:textId="77777777" w:rsidR="0089787D" w:rsidRDefault="0089787D">
            <w:pPr>
              <w:pStyle w:val="B1"/>
            </w:pPr>
            <w:r>
              <w:t xml:space="preserve">1&gt; if </w:t>
            </w:r>
            <w:proofErr w:type="spellStart"/>
            <w:r w:rsidRPr="00E87D15">
              <w:rPr>
                <w:i/>
                <w:iCs/>
                <w:lang w:eastAsia="ko-KR"/>
              </w:rPr>
              <w:t>ra-ResponseWindow</w:t>
            </w:r>
            <w:proofErr w:type="spellEnd"/>
            <w:r>
              <w:t xml:space="preserve"> (as described in clause 5.1.4), </w:t>
            </w:r>
            <w:proofErr w:type="spellStart"/>
            <w:r w:rsidRPr="00382F8F">
              <w:rPr>
                <w:i/>
                <w:iCs/>
              </w:rPr>
              <w:t>ra-ContentionResolutionTimer</w:t>
            </w:r>
            <w:proofErr w:type="spellEnd"/>
            <w:r>
              <w:t xml:space="preserve"> (as described in clause 5.1.5), or </w:t>
            </w:r>
            <w:proofErr w:type="spellStart"/>
            <w:r w:rsidRPr="00382F8F">
              <w:rPr>
                <w:i/>
                <w:iCs/>
              </w:rPr>
              <w:t>msgB-ResponseWindow</w:t>
            </w:r>
            <w:proofErr w:type="spellEnd"/>
            <w:r>
              <w:t xml:space="preserve"> (as described in clause 5.1.4a) is running; or</w:t>
            </w:r>
          </w:p>
          <w:p w14:paraId="26601C75" w14:textId="77777777" w:rsidR="0089787D" w:rsidRDefault="0089787D">
            <w:pPr>
              <w:pStyle w:val="B1"/>
            </w:pPr>
            <w:r>
              <w:t>1&gt; if a Scheduling Request is sent on PUCCH and is pending (as described in clause 5.4.4 or 5.22.1.5); or</w:t>
            </w:r>
          </w:p>
          <w:p w14:paraId="50308401" w14:textId="77777777" w:rsidR="0089787D" w:rsidRDefault="0089787D">
            <w:pPr>
              <w:pStyle w:val="B1"/>
            </w:pPr>
            <w:r>
              <w:t xml:space="preserve">1&gt; if 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MAC entity among the contention-based Random Access Preamble (as described in clauses 5.1.4 and 5.1.4a):</w:t>
            </w:r>
          </w:p>
          <w:p w14:paraId="7045007D" w14:textId="77777777" w:rsidR="0089787D" w:rsidRDefault="0089787D">
            <w:pPr>
              <w:pStyle w:val="B2"/>
              <w:rPr>
                <w:rFonts w:ascii="Calibri" w:eastAsia="Calibri" w:hAnsi="Calibri" w:cs="Calibri"/>
                <w:b/>
                <w:bCs/>
                <w:sz w:val="22"/>
                <w:szCs w:val="22"/>
              </w:rPr>
            </w:pPr>
            <w:r>
              <w:rPr>
                <w:lang w:eastAsia="zh-CN"/>
              </w:rPr>
              <w:t xml:space="preserve">2&gt; monitor PDCCH </w:t>
            </w:r>
            <w:r>
              <w:t>on the Serving Cells in this DRX group, as specified in TS 38.213 [6] and other clauses of this specification.</w:t>
            </w:r>
          </w:p>
        </w:tc>
      </w:tr>
    </w:tbl>
    <w:p w14:paraId="402A83EC" w14:textId="1B3AB750" w:rsidR="0089787D" w:rsidRDefault="0089787D" w:rsidP="0089787D">
      <w:pPr>
        <w:rPr>
          <w:color w:val="000000" w:themeColor="text1"/>
        </w:rPr>
      </w:pPr>
      <w:r>
        <w:rPr>
          <w:color w:val="000000" w:themeColor="text1"/>
        </w:rPr>
        <w:t xml:space="preserve">It is unclear if the intention of the agreements on retransmission timer was to have the exception per DRX group or per serving cell, since the UE DRX operation is per DRX group while Cell DTX is per serving cell. As retransmission is per cell, it makes sense to have the exception only for the serving cell with </w:t>
      </w:r>
      <w:r w:rsidR="00AA224A">
        <w:rPr>
          <w:color w:val="000000" w:themeColor="text1"/>
        </w:rPr>
        <w:t>retransmission</w:t>
      </w:r>
      <w:r>
        <w:rPr>
          <w:color w:val="000000" w:themeColor="text1"/>
        </w:rPr>
        <w:t xml:space="preserve"> timer is running for any of the HARQ process of the serving cell. On the other </w:t>
      </w:r>
      <w:proofErr w:type="gramStart"/>
      <w:r>
        <w:rPr>
          <w:color w:val="000000" w:themeColor="text1"/>
        </w:rPr>
        <w:t>hand</w:t>
      </w:r>
      <w:proofErr w:type="gramEnd"/>
      <w:r>
        <w:rPr>
          <w:color w:val="000000" w:themeColor="text1"/>
        </w:rPr>
        <w:t xml:space="preserve"> since the </w:t>
      </w:r>
      <w:proofErr w:type="spellStart"/>
      <w:r>
        <w:rPr>
          <w:color w:val="000000" w:themeColor="text1"/>
        </w:rPr>
        <w:t>gNB</w:t>
      </w:r>
      <w:proofErr w:type="spellEnd"/>
      <w:r>
        <w:rPr>
          <w:color w:val="000000" w:themeColor="text1"/>
        </w:rPr>
        <w:t xml:space="preserve"> may also schedule new transmission during retransmission timer running, in that sense, keep the UE monitoring the whole DRX group makes sense as well.</w:t>
      </w:r>
      <w:r w:rsidR="008069C4">
        <w:rPr>
          <w:color w:val="000000" w:themeColor="text1"/>
        </w:rPr>
        <w:t xml:space="preserve"> But we would like to check if it is common understanding that the retransmission timer running for any cell within the DRX group, then the UE monitors PDCCH of all the serving cells in the cell group regardless of if during Cell DTX active time</w:t>
      </w:r>
      <w:r w:rsidR="009B19D4">
        <w:rPr>
          <w:color w:val="000000" w:themeColor="text1"/>
        </w:rPr>
        <w:t xml:space="preserve"> since it was not explicitly agreed</w:t>
      </w:r>
      <w:r w:rsidR="008069C4">
        <w:rPr>
          <w:color w:val="000000" w:themeColor="text1"/>
        </w:rPr>
        <w:t>.</w:t>
      </w:r>
    </w:p>
    <w:p w14:paraId="28181B52" w14:textId="09C5656E" w:rsidR="00FA6B85" w:rsidRPr="008069C4" w:rsidRDefault="0089787D" w:rsidP="007D73B6">
      <w:pPr>
        <w:rPr>
          <w:color w:val="000000" w:themeColor="text1"/>
        </w:rPr>
      </w:pPr>
      <w:r w:rsidRPr="00DE5E8C">
        <w:rPr>
          <w:b/>
          <w:bCs/>
          <w:color w:val="000000" w:themeColor="text1"/>
        </w:rPr>
        <w:t xml:space="preserve">Proposal </w:t>
      </w:r>
      <w:r w:rsidR="00E30B27">
        <w:rPr>
          <w:b/>
          <w:bCs/>
          <w:color w:val="000000" w:themeColor="text1"/>
        </w:rPr>
        <w:t>2</w:t>
      </w:r>
      <w:r>
        <w:rPr>
          <w:color w:val="000000" w:themeColor="text1"/>
        </w:rPr>
        <w:t>:</w:t>
      </w:r>
      <w:r w:rsidR="0091062D">
        <w:rPr>
          <w:color w:val="000000" w:themeColor="text1"/>
        </w:rPr>
        <w:t xml:space="preserve"> </w:t>
      </w:r>
      <w:r w:rsidR="008069C4">
        <w:rPr>
          <w:color w:val="000000" w:themeColor="text1"/>
        </w:rPr>
        <w:t xml:space="preserve">confirm if it is common understanding that the retransmission timer running for any cell within the DRX group, then the UE monitors PDCCH of all the serving cells in the </w:t>
      </w:r>
      <w:r w:rsidR="00515724">
        <w:rPr>
          <w:color w:val="000000" w:themeColor="text1"/>
        </w:rPr>
        <w:t>DRX</w:t>
      </w:r>
      <w:r w:rsidR="008069C4">
        <w:rPr>
          <w:color w:val="000000" w:themeColor="text1"/>
        </w:rPr>
        <w:t xml:space="preserve"> group regardless of if during Cell DTX active time.</w:t>
      </w:r>
    </w:p>
    <w:p w14:paraId="2277546F" w14:textId="6F7C7353" w:rsidR="009339CB" w:rsidRPr="006E13D1" w:rsidRDefault="5172D994" w:rsidP="53120597">
      <w:pPr>
        <w:pStyle w:val="Heading1"/>
      </w:pPr>
      <w:r>
        <w:t>3</w:t>
      </w:r>
      <w:r w:rsidR="009339CB">
        <w:tab/>
      </w:r>
      <w:r w:rsidR="12413BAE">
        <w:t>Conclusion</w:t>
      </w:r>
    </w:p>
    <w:p w14:paraId="56EEE39D" w14:textId="369B236C" w:rsidR="009339CB" w:rsidRDefault="007D73B6" w:rsidP="009339CB">
      <w:r>
        <w:t>Remaining issues on Cell DTX/DRX are discussed in this contribution with the following proposals proposed:</w:t>
      </w:r>
    </w:p>
    <w:p w14:paraId="5081FBEE" w14:textId="05628BB8" w:rsidR="00DB12CE" w:rsidRPr="00FA6B85" w:rsidRDefault="00DB12CE" w:rsidP="00DB12CE">
      <w:pPr>
        <w:rPr>
          <w:rFonts w:eastAsia="Calibri"/>
        </w:rPr>
      </w:pPr>
      <w:r w:rsidRPr="009A3F7F">
        <w:rPr>
          <w:b/>
          <w:bCs/>
        </w:rPr>
        <w:t xml:space="preserve">Proposal </w:t>
      </w:r>
      <w:r w:rsidR="00E30B27">
        <w:rPr>
          <w:b/>
          <w:bCs/>
        </w:rPr>
        <w:t>1</w:t>
      </w:r>
      <w:r>
        <w:t xml:space="preserve">: since DCI format 2_9 is common signalling, the UE monitors the occasions configured for DCI format 2_9 regardless of the UE DRX active time, same as other common signalling for RAR, paging, SI, etc., </w:t>
      </w:r>
      <w:proofErr w:type="gramStart"/>
      <w:r>
        <w:t>i.e.</w:t>
      </w:r>
      <w:proofErr w:type="gramEnd"/>
      <w:r>
        <w:t xml:space="preserve"> no update needed in the UE DRX section.</w:t>
      </w:r>
    </w:p>
    <w:p w14:paraId="50032536" w14:textId="24D7588C" w:rsidR="00A71C6E" w:rsidRPr="008069C4" w:rsidRDefault="00A71C6E" w:rsidP="00A71C6E">
      <w:pPr>
        <w:rPr>
          <w:color w:val="000000" w:themeColor="text1"/>
        </w:rPr>
      </w:pPr>
      <w:r w:rsidRPr="00A71C6E">
        <w:rPr>
          <w:b/>
          <w:bCs/>
          <w:color w:val="000000" w:themeColor="text1"/>
        </w:rPr>
        <w:t xml:space="preserve">Proposal </w:t>
      </w:r>
      <w:r w:rsidR="00E30B27">
        <w:rPr>
          <w:b/>
          <w:bCs/>
          <w:color w:val="000000" w:themeColor="text1"/>
        </w:rPr>
        <w:t>2</w:t>
      </w:r>
      <w:r>
        <w:rPr>
          <w:color w:val="000000" w:themeColor="text1"/>
        </w:rPr>
        <w:t xml:space="preserve">: confirm if it is common understanding that the retransmission timer running for any cell within the DRX group, then the UE monitors PDCCH of all the serving cells in the </w:t>
      </w:r>
      <w:r w:rsidR="00515724">
        <w:rPr>
          <w:color w:val="000000" w:themeColor="text1"/>
        </w:rPr>
        <w:t>DRX</w:t>
      </w:r>
      <w:r>
        <w:rPr>
          <w:color w:val="000000" w:themeColor="text1"/>
        </w:rPr>
        <w:t xml:space="preserve"> group regardless of if during Cell DTX active time.</w:t>
      </w: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F32CB" w14:textId="77777777" w:rsidR="004A3ACC" w:rsidRDefault="004A3ACC">
      <w:r>
        <w:separator/>
      </w:r>
    </w:p>
  </w:endnote>
  <w:endnote w:type="continuationSeparator" w:id="0">
    <w:p w14:paraId="1210854D" w14:textId="77777777" w:rsidR="004A3ACC" w:rsidRDefault="004A3ACC">
      <w:r>
        <w:continuationSeparator/>
      </w:r>
    </w:p>
  </w:endnote>
  <w:endnote w:type="continuationNotice" w:id="1">
    <w:p w14:paraId="2B094216" w14:textId="77777777" w:rsidR="004A3ACC" w:rsidRDefault="004A3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ACE6" w14:textId="77777777" w:rsidR="004A3ACC" w:rsidRDefault="004A3ACC">
      <w:r>
        <w:separator/>
      </w:r>
    </w:p>
  </w:footnote>
  <w:footnote w:type="continuationSeparator" w:id="0">
    <w:p w14:paraId="0B9AE3BA" w14:textId="77777777" w:rsidR="004A3ACC" w:rsidRDefault="004A3ACC">
      <w:r>
        <w:continuationSeparator/>
      </w:r>
    </w:p>
  </w:footnote>
  <w:footnote w:type="continuationNotice" w:id="1">
    <w:p w14:paraId="51783B08" w14:textId="77777777" w:rsidR="004A3ACC" w:rsidRDefault="004A3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867213"/>
    <w:multiLevelType w:val="hybridMultilevel"/>
    <w:tmpl w:val="5588C040"/>
    <w:lvl w:ilvl="0" w:tplc="F0207AAC">
      <w:start w:val="1"/>
      <w:numFmt w:val="decimal"/>
      <w:lvlText w:val="%1."/>
      <w:lvlJc w:val="left"/>
      <w:pPr>
        <w:ind w:left="720" w:hanging="360"/>
      </w:pPr>
    </w:lvl>
    <w:lvl w:ilvl="1" w:tplc="854AE238">
      <w:start w:val="1"/>
      <w:numFmt w:val="lowerLetter"/>
      <w:lvlText w:val="%2."/>
      <w:lvlJc w:val="left"/>
      <w:pPr>
        <w:ind w:left="1440" w:hanging="360"/>
      </w:pPr>
    </w:lvl>
    <w:lvl w:ilvl="2" w:tplc="33B045E0">
      <w:start w:val="1"/>
      <w:numFmt w:val="lowerRoman"/>
      <w:lvlText w:val="%3."/>
      <w:lvlJc w:val="right"/>
      <w:pPr>
        <w:ind w:left="2160" w:hanging="180"/>
      </w:pPr>
    </w:lvl>
    <w:lvl w:ilvl="3" w:tplc="315E6C88">
      <w:start w:val="1"/>
      <w:numFmt w:val="decimal"/>
      <w:lvlText w:val="%4."/>
      <w:lvlJc w:val="left"/>
      <w:pPr>
        <w:ind w:left="2880" w:hanging="360"/>
      </w:pPr>
    </w:lvl>
    <w:lvl w:ilvl="4" w:tplc="329CDCA6">
      <w:start w:val="1"/>
      <w:numFmt w:val="lowerLetter"/>
      <w:lvlText w:val="%5."/>
      <w:lvlJc w:val="left"/>
      <w:pPr>
        <w:ind w:left="3600" w:hanging="360"/>
      </w:pPr>
    </w:lvl>
    <w:lvl w:ilvl="5" w:tplc="54780F1C">
      <w:start w:val="1"/>
      <w:numFmt w:val="lowerRoman"/>
      <w:lvlText w:val="%6."/>
      <w:lvlJc w:val="right"/>
      <w:pPr>
        <w:ind w:left="4320" w:hanging="180"/>
      </w:pPr>
    </w:lvl>
    <w:lvl w:ilvl="6" w:tplc="E498620E">
      <w:start w:val="1"/>
      <w:numFmt w:val="decimal"/>
      <w:lvlText w:val="%7."/>
      <w:lvlJc w:val="left"/>
      <w:pPr>
        <w:ind w:left="5040" w:hanging="360"/>
      </w:pPr>
    </w:lvl>
    <w:lvl w:ilvl="7" w:tplc="5240CDDA">
      <w:start w:val="1"/>
      <w:numFmt w:val="lowerLetter"/>
      <w:lvlText w:val="%8."/>
      <w:lvlJc w:val="left"/>
      <w:pPr>
        <w:ind w:left="5760" w:hanging="360"/>
      </w:pPr>
    </w:lvl>
    <w:lvl w:ilvl="8" w:tplc="A350A7AE">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245F8BC"/>
    <w:multiLevelType w:val="hybridMultilevel"/>
    <w:tmpl w:val="9C56219A"/>
    <w:lvl w:ilvl="0" w:tplc="96DACBC2">
      <w:start w:val="1"/>
      <w:numFmt w:val="decimal"/>
      <w:lvlText w:val="%1."/>
      <w:lvlJc w:val="left"/>
      <w:pPr>
        <w:ind w:left="720" w:hanging="360"/>
      </w:pPr>
    </w:lvl>
    <w:lvl w:ilvl="1" w:tplc="5E520920">
      <w:start w:val="1"/>
      <w:numFmt w:val="lowerLetter"/>
      <w:lvlText w:val="%2."/>
      <w:lvlJc w:val="left"/>
      <w:pPr>
        <w:ind w:left="1440" w:hanging="360"/>
      </w:pPr>
    </w:lvl>
    <w:lvl w:ilvl="2" w:tplc="65C22F12">
      <w:start w:val="1"/>
      <w:numFmt w:val="lowerRoman"/>
      <w:lvlText w:val="%3."/>
      <w:lvlJc w:val="right"/>
      <w:pPr>
        <w:ind w:left="2160" w:hanging="180"/>
      </w:pPr>
    </w:lvl>
    <w:lvl w:ilvl="3" w:tplc="0F4ADF1E">
      <w:start w:val="1"/>
      <w:numFmt w:val="decimal"/>
      <w:lvlText w:val="%4."/>
      <w:lvlJc w:val="left"/>
      <w:pPr>
        <w:ind w:left="2880" w:hanging="360"/>
      </w:pPr>
    </w:lvl>
    <w:lvl w:ilvl="4" w:tplc="1A86CA98">
      <w:start w:val="1"/>
      <w:numFmt w:val="lowerLetter"/>
      <w:lvlText w:val="%5."/>
      <w:lvlJc w:val="left"/>
      <w:pPr>
        <w:ind w:left="3600" w:hanging="360"/>
      </w:pPr>
    </w:lvl>
    <w:lvl w:ilvl="5" w:tplc="E7845B4E">
      <w:start w:val="1"/>
      <w:numFmt w:val="lowerRoman"/>
      <w:lvlText w:val="%6."/>
      <w:lvlJc w:val="right"/>
      <w:pPr>
        <w:ind w:left="4320" w:hanging="180"/>
      </w:pPr>
    </w:lvl>
    <w:lvl w:ilvl="6" w:tplc="39D27FB8">
      <w:start w:val="1"/>
      <w:numFmt w:val="decimal"/>
      <w:lvlText w:val="%7."/>
      <w:lvlJc w:val="left"/>
      <w:pPr>
        <w:ind w:left="5040" w:hanging="360"/>
      </w:pPr>
    </w:lvl>
    <w:lvl w:ilvl="7" w:tplc="3F74AD20">
      <w:start w:val="1"/>
      <w:numFmt w:val="lowerLetter"/>
      <w:lvlText w:val="%8."/>
      <w:lvlJc w:val="left"/>
      <w:pPr>
        <w:ind w:left="5760" w:hanging="360"/>
      </w:pPr>
    </w:lvl>
    <w:lvl w:ilvl="8" w:tplc="1A2699A8">
      <w:start w:val="1"/>
      <w:numFmt w:val="lowerRoman"/>
      <w:lvlText w:val="%9."/>
      <w:lvlJc w:val="right"/>
      <w:pPr>
        <w:ind w:left="6480" w:hanging="180"/>
      </w:pPr>
    </w:lvl>
  </w:abstractNum>
  <w:num w:numId="1" w16cid:durableId="774061590">
    <w:abstractNumId w:val="7"/>
  </w:num>
  <w:num w:numId="2" w16cid:durableId="16590479">
    <w:abstractNumId w:val="4"/>
  </w:num>
  <w:num w:numId="3"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489253310">
    <w:abstractNumId w:val="1"/>
  </w:num>
  <w:num w:numId="6" w16cid:durableId="199124208">
    <w:abstractNumId w:val="3"/>
  </w:num>
  <w:num w:numId="7" w16cid:durableId="630793192">
    <w:abstractNumId w:val="2"/>
  </w:num>
  <w:num w:numId="8" w16cid:durableId="1154301696">
    <w:abstractNumId w:val="5"/>
  </w:num>
  <w:num w:numId="9" w16cid:durableId="14893991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46BEF"/>
    <w:rsid w:val="00065268"/>
    <w:rsid w:val="00070D90"/>
    <w:rsid w:val="00073C9C"/>
    <w:rsid w:val="00076412"/>
    <w:rsid w:val="00080512"/>
    <w:rsid w:val="00080B69"/>
    <w:rsid w:val="00090468"/>
    <w:rsid w:val="00094568"/>
    <w:rsid w:val="00096694"/>
    <w:rsid w:val="000B7BCF"/>
    <w:rsid w:val="000C522B"/>
    <w:rsid w:val="000D58AB"/>
    <w:rsid w:val="00112F1A"/>
    <w:rsid w:val="00134ED6"/>
    <w:rsid w:val="00145075"/>
    <w:rsid w:val="00155E39"/>
    <w:rsid w:val="001741A0"/>
    <w:rsid w:val="00175FA0"/>
    <w:rsid w:val="0018542A"/>
    <w:rsid w:val="00194CD0"/>
    <w:rsid w:val="001A340C"/>
    <w:rsid w:val="001B49C9"/>
    <w:rsid w:val="001C23F4"/>
    <w:rsid w:val="001C4F79"/>
    <w:rsid w:val="001F168B"/>
    <w:rsid w:val="001F7831"/>
    <w:rsid w:val="00204045"/>
    <w:rsid w:val="0020712B"/>
    <w:rsid w:val="0022606D"/>
    <w:rsid w:val="00231728"/>
    <w:rsid w:val="00236C7B"/>
    <w:rsid w:val="00242455"/>
    <w:rsid w:val="00244A05"/>
    <w:rsid w:val="00250404"/>
    <w:rsid w:val="00256B74"/>
    <w:rsid w:val="002610D8"/>
    <w:rsid w:val="002747EC"/>
    <w:rsid w:val="002855BF"/>
    <w:rsid w:val="0028874F"/>
    <w:rsid w:val="002A2B76"/>
    <w:rsid w:val="002A65F4"/>
    <w:rsid w:val="002B2988"/>
    <w:rsid w:val="002F0D22"/>
    <w:rsid w:val="00311B17"/>
    <w:rsid w:val="003172DC"/>
    <w:rsid w:val="00325AE3"/>
    <w:rsid w:val="00326069"/>
    <w:rsid w:val="0035462D"/>
    <w:rsid w:val="0036459E"/>
    <w:rsid w:val="00364B41"/>
    <w:rsid w:val="00383096"/>
    <w:rsid w:val="0039346C"/>
    <w:rsid w:val="00397D4B"/>
    <w:rsid w:val="003A41EF"/>
    <w:rsid w:val="003B40AD"/>
    <w:rsid w:val="003C4E37"/>
    <w:rsid w:val="003D0FD0"/>
    <w:rsid w:val="003E16BE"/>
    <w:rsid w:val="003F0CCB"/>
    <w:rsid w:val="003F4E28"/>
    <w:rsid w:val="004006E8"/>
    <w:rsid w:val="00401855"/>
    <w:rsid w:val="00446C3A"/>
    <w:rsid w:val="00447F5E"/>
    <w:rsid w:val="00464DAC"/>
    <w:rsid w:val="00465587"/>
    <w:rsid w:val="00466E21"/>
    <w:rsid w:val="00476CDD"/>
    <w:rsid w:val="00477455"/>
    <w:rsid w:val="0048230A"/>
    <w:rsid w:val="004A1F7B"/>
    <w:rsid w:val="004A3ACC"/>
    <w:rsid w:val="004C44D2"/>
    <w:rsid w:val="004D3578"/>
    <w:rsid w:val="004D380D"/>
    <w:rsid w:val="004E213A"/>
    <w:rsid w:val="004E7553"/>
    <w:rsid w:val="004F4540"/>
    <w:rsid w:val="004F73A7"/>
    <w:rsid w:val="00503171"/>
    <w:rsid w:val="00506C28"/>
    <w:rsid w:val="00515724"/>
    <w:rsid w:val="00534DA0"/>
    <w:rsid w:val="00537809"/>
    <w:rsid w:val="00543E6C"/>
    <w:rsid w:val="00565087"/>
    <w:rsid w:val="0056573F"/>
    <w:rsid w:val="00571279"/>
    <w:rsid w:val="00573B1A"/>
    <w:rsid w:val="005A13AB"/>
    <w:rsid w:val="005A49C6"/>
    <w:rsid w:val="005B1D44"/>
    <w:rsid w:val="005C766E"/>
    <w:rsid w:val="005C7CD5"/>
    <w:rsid w:val="00600D2B"/>
    <w:rsid w:val="00611566"/>
    <w:rsid w:val="00643FE2"/>
    <w:rsid w:val="00646D99"/>
    <w:rsid w:val="00656910"/>
    <w:rsid w:val="006574C0"/>
    <w:rsid w:val="00667813"/>
    <w:rsid w:val="0068786E"/>
    <w:rsid w:val="0069143D"/>
    <w:rsid w:val="00696821"/>
    <w:rsid w:val="006A289C"/>
    <w:rsid w:val="006C66D8"/>
    <w:rsid w:val="006D1E24"/>
    <w:rsid w:val="006D35DE"/>
    <w:rsid w:val="006E1057"/>
    <w:rsid w:val="006E1417"/>
    <w:rsid w:val="006F6A2C"/>
    <w:rsid w:val="007024D0"/>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73B6"/>
    <w:rsid w:val="007F2E08"/>
    <w:rsid w:val="008024FA"/>
    <w:rsid w:val="008028A4"/>
    <w:rsid w:val="008069C4"/>
    <w:rsid w:val="00813245"/>
    <w:rsid w:val="00840DE0"/>
    <w:rsid w:val="00847CD0"/>
    <w:rsid w:val="008607A8"/>
    <w:rsid w:val="008625E2"/>
    <w:rsid w:val="0086354A"/>
    <w:rsid w:val="0086588D"/>
    <w:rsid w:val="008768CA"/>
    <w:rsid w:val="00877EF9"/>
    <w:rsid w:val="0088005F"/>
    <w:rsid w:val="00880559"/>
    <w:rsid w:val="0089787D"/>
    <w:rsid w:val="008B0511"/>
    <w:rsid w:val="008B5306"/>
    <w:rsid w:val="008B54E8"/>
    <w:rsid w:val="008C2E2A"/>
    <w:rsid w:val="008C3057"/>
    <w:rsid w:val="008D2E4D"/>
    <w:rsid w:val="008F396F"/>
    <w:rsid w:val="008F3DCD"/>
    <w:rsid w:val="0090271F"/>
    <w:rsid w:val="00902DB9"/>
    <w:rsid w:val="0090466A"/>
    <w:rsid w:val="00905E5A"/>
    <w:rsid w:val="0091062D"/>
    <w:rsid w:val="00923655"/>
    <w:rsid w:val="009248C6"/>
    <w:rsid w:val="009339CB"/>
    <w:rsid w:val="00936071"/>
    <w:rsid w:val="009376CD"/>
    <w:rsid w:val="00940212"/>
    <w:rsid w:val="00942EC2"/>
    <w:rsid w:val="009553DC"/>
    <w:rsid w:val="00961B32"/>
    <w:rsid w:val="00962509"/>
    <w:rsid w:val="00970DB3"/>
    <w:rsid w:val="00972003"/>
    <w:rsid w:val="00974BB0"/>
    <w:rsid w:val="00975BCD"/>
    <w:rsid w:val="009818A2"/>
    <w:rsid w:val="009928A9"/>
    <w:rsid w:val="009A0AF3"/>
    <w:rsid w:val="009A3F7F"/>
    <w:rsid w:val="009B07CD"/>
    <w:rsid w:val="009B19D4"/>
    <w:rsid w:val="009C19E9"/>
    <w:rsid w:val="009C5595"/>
    <w:rsid w:val="009D74A6"/>
    <w:rsid w:val="009D74AC"/>
    <w:rsid w:val="009E0E87"/>
    <w:rsid w:val="00A10F02"/>
    <w:rsid w:val="00A17176"/>
    <w:rsid w:val="00A204CA"/>
    <w:rsid w:val="00A209D6"/>
    <w:rsid w:val="00A22738"/>
    <w:rsid w:val="00A36F5F"/>
    <w:rsid w:val="00A430EC"/>
    <w:rsid w:val="00A53724"/>
    <w:rsid w:val="00A54B2B"/>
    <w:rsid w:val="00A703B6"/>
    <w:rsid w:val="00A71C6E"/>
    <w:rsid w:val="00A82346"/>
    <w:rsid w:val="00A87B79"/>
    <w:rsid w:val="00A947E7"/>
    <w:rsid w:val="00A9671C"/>
    <w:rsid w:val="00AA1553"/>
    <w:rsid w:val="00AA224A"/>
    <w:rsid w:val="00AD5E7B"/>
    <w:rsid w:val="00AD6BD2"/>
    <w:rsid w:val="00AD7E7C"/>
    <w:rsid w:val="00AE619B"/>
    <w:rsid w:val="00B05380"/>
    <w:rsid w:val="00B05962"/>
    <w:rsid w:val="00B15449"/>
    <w:rsid w:val="00B16C2F"/>
    <w:rsid w:val="00B27303"/>
    <w:rsid w:val="00B47FD1"/>
    <w:rsid w:val="00B516BB"/>
    <w:rsid w:val="00B54435"/>
    <w:rsid w:val="00B653A9"/>
    <w:rsid w:val="00B669E9"/>
    <w:rsid w:val="00B7538C"/>
    <w:rsid w:val="00B84DB2"/>
    <w:rsid w:val="00BC3555"/>
    <w:rsid w:val="00C12B51"/>
    <w:rsid w:val="00C22F25"/>
    <w:rsid w:val="00C24650"/>
    <w:rsid w:val="00C25465"/>
    <w:rsid w:val="00C26F64"/>
    <w:rsid w:val="00C31806"/>
    <w:rsid w:val="00C33079"/>
    <w:rsid w:val="00C51035"/>
    <w:rsid w:val="00C55A12"/>
    <w:rsid w:val="00C56CB7"/>
    <w:rsid w:val="00C6553E"/>
    <w:rsid w:val="00C745E7"/>
    <w:rsid w:val="00C83A13"/>
    <w:rsid w:val="00C86F10"/>
    <w:rsid w:val="00C9068C"/>
    <w:rsid w:val="00C92967"/>
    <w:rsid w:val="00C9432B"/>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2582"/>
    <w:rsid w:val="00DA7A03"/>
    <w:rsid w:val="00DB0DB8"/>
    <w:rsid w:val="00DB12CE"/>
    <w:rsid w:val="00DB1818"/>
    <w:rsid w:val="00DC309B"/>
    <w:rsid w:val="00DC4CC4"/>
    <w:rsid w:val="00DC4DA2"/>
    <w:rsid w:val="00DC5261"/>
    <w:rsid w:val="00DE25D2"/>
    <w:rsid w:val="00DE5E8C"/>
    <w:rsid w:val="00DF49B5"/>
    <w:rsid w:val="00DF7C20"/>
    <w:rsid w:val="00E038FB"/>
    <w:rsid w:val="00E30B27"/>
    <w:rsid w:val="00E46C08"/>
    <w:rsid w:val="00E471CF"/>
    <w:rsid w:val="00E52E00"/>
    <w:rsid w:val="00E62835"/>
    <w:rsid w:val="00E6480E"/>
    <w:rsid w:val="00E77645"/>
    <w:rsid w:val="00E83697"/>
    <w:rsid w:val="00E859B6"/>
    <w:rsid w:val="00EA66C9"/>
    <w:rsid w:val="00EB5D32"/>
    <w:rsid w:val="00EB7C2C"/>
    <w:rsid w:val="00EC4A25"/>
    <w:rsid w:val="00EE3755"/>
    <w:rsid w:val="00EF0CB5"/>
    <w:rsid w:val="00EF612C"/>
    <w:rsid w:val="00F025A2"/>
    <w:rsid w:val="00F036E9"/>
    <w:rsid w:val="00F07388"/>
    <w:rsid w:val="00F2026E"/>
    <w:rsid w:val="00F2210A"/>
    <w:rsid w:val="00F31372"/>
    <w:rsid w:val="00F31B19"/>
    <w:rsid w:val="00F37743"/>
    <w:rsid w:val="00F42493"/>
    <w:rsid w:val="00F54A3D"/>
    <w:rsid w:val="00F54CB0"/>
    <w:rsid w:val="00F579CD"/>
    <w:rsid w:val="00F64222"/>
    <w:rsid w:val="00F653B8"/>
    <w:rsid w:val="00F71B89"/>
    <w:rsid w:val="00F7353C"/>
    <w:rsid w:val="00F76F8F"/>
    <w:rsid w:val="00F87257"/>
    <w:rsid w:val="00F941DF"/>
    <w:rsid w:val="00F9633D"/>
    <w:rsid w:val="00FA1266"/>
    <w:rsid w:val="00FA6B85"/>
    <w:rsid w:val="00FB34D4"/>
    <w:rsid w:val="00FB36FA"/>
    <w:rsid w:val="00FC1192"/>
    <w:rsid w:val="00FE106D"/>
    <w:rsid w:val="00FE251B"/>
    <w:rsid w:val="020528FF"/>
    <w:rsid w:val="03C9EFAC"/>
    <w:rsid w:val="04AA52E1"/>
    <w:rsid w:val="0610D993"/>
    <w:rsid w:val="071E76CD"/>
    <w:rsid w:val="07C6E51D"/>
    <w:rsid w:val="08E65FF5"/>
    <w:rsid w:val="0935DEB8"/>
    <w:rsid w:val="0BF1E7F0"/>
    <w:rsid w:val="0C067CAD"/>
    <w:rsid w:val="0C0C6A95"/>
    <w:rsid w:val="0C1E00B7"/>
    <w:rsid w:val="0DB9D118"/>
    <w:rsid w:val="12413BAE"/>
    <w:rsid w:val="129D3F42"/>
    <w:rsid w:val="12C398A1"/>
    <w:rsid w:val="1314D0CC"/>
    <w:rsid w:val="15C96EEE"/>
    <w:rsid w:val="17600568"/>
    <w:rsid w:val="1A07F5EA"/>
    <w:rsid w:val="1D27E774"/>
    <w:rsid w:val="205E0F11"/>
    <w:rsid w:val="21B61773"/>
    <w:rsid w:val="21F09902"/>
    <w:rsid w:val="2351E7D4"/>
    <w:rsid w:val="2388E27E"/>
    <w:rsid w:val="25AE6D79"/>
    <w:rsid w:val="2AB4EC4B"/>
    <w:rsid w:val="2BBA344A"/>
    <w:rsid w:val="31734BFE"/>
    <w:rsid w:val="340CC468"/>
    <w:rsid w:val="34F99194"/>
    <w:rsid w:val="393E60E0"/>
    <w:rsid w:val="394E3120"/>
    <w:rsid w:val="3B9C95AE"/>
    <w:rsid w:val="3D133B36"/>
    <w:rsid w:val="3D8DB3F3"/>
    <w:rsid w:val="3EDEC492"/>
    <w:rsid w:val="40E300DB"/>
    <w:rsid w:val="423FCD0E"/>
    <w:rsid w:val="44BB65F5"/>
    <w:rsid w:val="48009357"/>
    <w:rsid w:val="4A70BAA6"/>
    <w:rsid w:val="4A7196C5"/>
    <w:rsid w:val="4A9228A2"/>
    <w:rsid w:val="4BA41F3D"/>
    <w:rsid w:val="4CC839B1"/>
    <w:rsid w:val="4DEC41AB"/>
    <w:rsid w:val="4DF73FA5"/>
    <w:rsid w:val="4E734CAB"/>
    <w:rsid w:val="5164C880"/>
    <w:rsid w:val="5172D994"/>
    <w:rsid w:val="53120597"/>
    <w:rsid w:val="5507764A"/>
    <w:rsid w:val="55DF4FF7"/>
    <w:rsid w:val="56E55041"/>
    <w:rsid w:val="57C05312"/>
    <w:rsid w:val="5BA2CF09"/>
    <w:rsid w:val="5BF1A11F"/>
    <w:rsid w:val="5CD925B0"/>
    <w:rsid w:val="61D2BB4D"/>
    <w:rsid w:val="6617475F"/>
    <w:rsid w:val="66F3B016"/>
    <w:rsid w:val="68D2F688"/>
    <w:rsid w:val="6A0E0D4F"/>
    <w:rsid w:val="6B66CAEA"/>
    <w:rsid w:val="6B746908"/>
    <w:rsid w:val="6BE967F0"/>
    <w:rsid w:val="6C473C0C"/>
    <w:rsid w:val="6D818985"/>
    <w:rsid w:val="6E1A545A"/>
    <w:rsid w:val="6F1D59E6"/>
    <w:rsid w:val="71866010"/>
    <w:rsid w:val="71D5DED3"/>
    <w:rsid w:val="77217B5F"/>
    <w:rsid w:val="7BEE7B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290CF32-2829-4487-85C1-FF9927F4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B1Char">
    <w:name w:val="B1 Char"/>
    <w:link w:val="B1"/>
    <w:qFormat/>
    <w:rsid w:val="003F0CCB"/>
    <w:rPr>
      <w:lang w:eastAsia="en-US"/>
    </w:rPr>
  </w:style>
  <w:style w:type="character" w:customStyle="1" w:styleId="B2Char">
    <w:name w:val="B2 Char"/>
    <w:link w:val="B2"/>
    <w:qFormat/>
    <w:rsid w:val="003F0CCB"/>
    <w:rPr>
      <w:lang w:eastAsia="en-US"/>
    </w:rPr>
  </w:style>
  <w:style w:type="character" w:customStyle="1" w:styleId="B3Char">
    <w:name w:val="B3 Char"/>
    <w:link w:val="B3"/>
    <w:qFormat/>
    <w:rsid w:val="003F0CCB"/>
    <w:rPr>
      <w:lang w:eastAsia="en-US"/>
    </w:rPr>
  </w:style>
  <w:style w:type="character" w:customStyle="1" w:styleId="Heading2Char">
    <w:name w:val="Heading 2 Char"/>
    <w:basedOn w:val="DefaultParagraphFont"/>
    <w:link w:val="Heading2"/>
    <w:rsid w:val="00134ED6"/>
    <w:rPr>
      <w:rFonts w:ascii="Arial" w:hAnsi="Arial"/>
      <w:sz w:val="32"/>
      <w:lang w:eastAsia="en-US"/>
    </w:rPr>
  </w:style>
  <w:style w:type="character" w:styleId="CommentReference">
    <w:name w:val="annotation reference"/>
    <w:basedOn w:val="DefaultParagraphFont"/>
    <w:uiPriority w:val="99"/>
    <w:qFormat/>
    <w:rsid w:val="00134ED6"/>
    <w:rPr>
      <w:sz w:val="16"/>
      <w:szCs w:val="16"/>
    </w:rPr>
  </w:style>
  <w:style w:type="paragraph" w:styleId="CommentText">
    <w:name w:val="annotation text"/>
    <w:basedOn w:val="Normal"/>
    <w:link w:val="CommentTextChar"/>
    <w:rsid w:val="00134ED6"/>
  </w:style>
  <w:style w:type="character" w:customStyle="1" w:styleId="CommentTextChar">
    <w:name w:val="Comment Text Char"/>
    <w:basedOn w:val="DefaultParagraphFont"/>
    <w:link w:val="CommentText"/>
    <w:rsid w:val="00134ED6"/>
    <w:rPr>
      <w:lang w:eastAsia="en-US"/>
    </w:rPr>
  </w:style>
  <w:style w:type="paragraph" w:styleId="CommentSubject">
    <w:name w:val="annotation subject"/>
    <w:basedOn w:val="CommentText"/>
    <w:next w:val="CommentText"/>
    <w:link w:val="CommentSubjectChar"/>
    <w:rsid w:val="006A289C"/>
    <w:rPr>
      <w:b/>
      <w:bCs/>
    </w:rPr>
  </w:style>
  <w:style w:type="character" w:customStyle="1" w:styleId="CommentSubjectChar">
    <w:name w:val="Comment Subject Char"/>
    <w:basedOn w:val="CommentTextChar"/>
    <w:link w:val="CommentSubject"/>
    <w:rsid w:val="006A289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5AIRPNAIUNRU-859666464-16053</_dlc_DocId>
    <_dlc_DocIdUrl xmlns="71c5aaf6-e6ce-465b-b873-5148d2a4c105">
      <Url>https://nokia.sharepoint.com/sites/c5g/e2earch/_layouts/15/DocIdRedir.aspx?ID=5AIRPNAIUNRU-859666464-16053</Url>
      <Description>5AIRPNAIUNRU-859666464-16053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EE6845-82A5-4786-AE7B-4401CE059D93}">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3b34c8f0-1ef5-4d1e-bb66-517ce7fe7356"/>
    <ds:schemaRef ds:uri="a3840f4f-04be-43d1-b2ef-6ff1382503c7"/>
    <ds:schemaRef ds:uri="http://purl.org/dc/elements/1.1/"/>
    <ds:schemaRef ds:uri="83f22d2f-d16e-4be6-ad4f-29fa0b067c3c"/>
    <ds:schemaRef ds:uri="http://purl.org/dc/dcmitype/"/>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875</Words>
  <Characters>4992</Characters>
  <Application>Microsoft Office Word</Application>
  <DocSecurity>0</DocSecurity>
  <Lines>41</Lines>
  <Paragraphs>11</Paragraphs>
  <ScaleCrop>false</ScaleCrop>
  <Manager/>
  <Company>Nokia</Company>
  <LinksUpToDate>false</LinksUpToDate>
  <CharactersWithSpaces>5856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2023-11-03T02:39:00Z</dcterms:created>
  <dcterms:modified xsi:type="dcterms:W3CDTF">2023-11-03T02:39:00Z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f9476bd4-e246-46da-9dae-5417201b6d79</vt:lpwstr>
  </property>
  <property fmtid="{D5CDD505-2E9C-101B-9397-08002B2CF9AE}" pid="4" name="MediaServiceImageTags">
    <vt:lpwstr/>
  </property>
</Properties>
</file>